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215" w:rsidRDefault="00080894" w:rsidP="0070721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FA6620" w:rsidRPr="00FA6620">
        <w:rPr>
          <w:rFonts w:ascii="Times New Roman" w:hAnsi="Times New Roman" w:cs="Times New Roman"/>
          <w:b/>
        </w:rPr>
        <w:t xml:space="preserve"> </w:t>
      </w:r>
      <w:r w:rsidRPr="00080894">
        <w:rPr>
          <w:rFonts w:ascii="Times New Roman" w:hAnsi="Times New Roman" w:cs="Times New Roman"/>
          <w:b/>
        </w:rPr>
        <w:t>1</w:t>
      </w:r>
    </w:p>
    <w:p w:rsidR="00BA4464" w:rsidRPr="00BA4464" w:rsidRDefault="00080894" w:rsidP="00BA44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80894">
        <w:rPr>
          <w:rFonts w:ascii="Times New Roman" w:hAnsi="Times New Roman" w:cs="Times New Roman"/>
        </w:rPr>
        <w:t xml:space="preserve"> приказу </w:t>
      </w:r>
      <w:r w:rsidR="00707215">
        <w:rPr>
          <w:rFonts w:ascii="Times New Roman" w:hAnsi="Times New Roman" w:cs="Times New Roman"/>
        </w:rPr>
        <w:t xml:space="preserve">ректора </w:t>
      </w:r>
      <w:r w:rsidRPr="00080894">
        <w:rPr>
          <w:rFonts w:ascii="Times New Roman" w:hAnsi="Times New Roman" w:cs="Times New Roman"/>
        </w:rPr>
        <w:t>№</w:t>
      </w:r>
      <w:r w:rsidR="00FA6620" w:rsidRPr="00FA6620">
        <w:rPr>
          <w:rFonts w:ascii="Times New Roman" w:hAnsi="Times New Roman" w:cs="Times New Roman"/>
        </w:rPr>
        <w:t xml:space="preserve"> </w:t>
      </w:r>
      <w:r w:rsidRPr="00080894">
        <w:rPr>
          <w:rFonts w:ascii="Times New Roman" w:hAnsi="Times New Roman" w:cs="Times New Roman"/>
        </w:rPr>
        <w:t>____</w:t>
      </w:r>
      <w:r w:rsidR="00F67375">
        <w:rPr>
          <w:rFonts w:ascii="Times New Roman" w:hAnsi="Times New Roman" w:cs="Times New Roman"/>
        </w:rPr>
        <w:t>___</w:t>
      </w:r>
      <w:r w:rsidRPr="00080894">
        <w:rPr>
          <w:rFonts w:ascii="Times New Roman" w:hAnsi="Times New Roman" w:cs="Times New Roman"/>
        </w:rPr>
        <w:t xml:space="preserve"> от «___</w:t>
      </w:r>
      <w:r w:rsidR="00707215">
        <w:rPr>
          <w:rFonts w:ascii="Times New Roman" w:hAnsi="Times New Roman" w:cs="Times New Roman"/>
        </w:rPr>
        <w:t>__</w:t>
      </w:r>
      <w:r w:rsidRPr="00080894">
        <w:rPr>
          <w:rFonts w:ascii="Times New Roman" w:hAnsi="Times New Roman" w:cs="Times New Roman"/>
        </w:rPr>
        <w:t>» ____________</w:t>
      </w:r>
      <w:r>
        <w:rPr>
          <w:rFonts w:ascii="Times New Roman" w:hAnsi="Times New Roman" w:cs="Times New Roman"/>
        </w:rPr>
        <w:t>_____</w:t>
      </w:r>
      <w:r w:rsidR="00707215">
        <w:rPr>
          <w:rFonts w:ascii="Times New Roman" w:hAnsi="Times New Roman" w:cs="Times New Roman"/>
        </w:rPr>
        <w:t>___</w:t>
      </w:r>
      <w:r w:rsidR="00FA6620" w:rsidRPr="00FA6620">
        <w:rPr>
          <w:rFonts w:ascii="Times New Roman" w:hAnsi="Times New Roman" w:cs="Times New Roman"/>
        </w:rPr>
        <w:t xml:space="preserve"> </w:t>
      </w:r>
      <w:r w:rsidR="00A85073">
        <w:rPr>
          <w:rFonts w:ascii="Times New Roman" w:hAnsi="Times New Roman" w:cs="Times New Roman"/>
        </w:rPr>
        <w:t>2017</w:t>
      </w:r>
      <w:r w:rsidRPr="00080894">
        <w:rPr>
          <w:rFonts w:ascii="Times New Roman" w:hAnsi="Times New Roman" w:cs="Times New Roman"/>
        </w:rPr>
        <w:t xml:space="preserve"> г.</w:t>
      </w:r>
    </w:p>
    <w:p w:rsidR="00080894" w:rsidRPr="00080894" w:rsidRDefault="00080894" w:rsidP="0008089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21"/>
        <w:gridCol w:w="7273"/>
      </w:tblGrid>
      <w:tr w:rsidR="00E5717B" w:rsidRPr="00E5717B" w:rsidTr="00E5717B">
        <w:trPr>
          <w:trHeight w:val="190"/>
          <w:jc w:val="center"/>
        </w:trPr>
        <w:tc>
          <w:tcPr>
            <w:tcW w:w="7621" w:type="dxa"/>
          </w:tcPr>
          <w:p w:rsidR="006D7830" w:rsidRPr="00E5717B" w:rsidRDefault="006D7830" w:rsidP="00FA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Правила проведения</w:t>
            </w:r>
          </w:p>
          <w:p w:rsidR="006D7830" w:rsidRPr="00E5717B" w:rsidRDefault="006D7830" w:rsidP="00FA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Международного открытого творческого Фестиваля-конкурса</w:t>
            </w:r>
          </w:p>
          <w:p w:rsidR="00FF695D" w:rsidRPr="00E5717B" w:rsidRDefault="006D7830" w:rsidP="009B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«Волшебство акварели»</w:t>
            </w:r>
          </w:p>
        </w:tc>
        <w:tc>
          <w:tcPr>
            <w:tcW w:w="7273" w:type="dxa"/>
          </w:tcPr>
          <w:p w:rsidR="00A54D49" w:rsidRPr="00E5717B" w:rsidRDefault="007E7329" w:rsidP="00FA6620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Regulations</w:t>
            </w:r>
          </w:p>
          <w:p w:rsidR="006D7830" w:rsidRPr="00E5717B" w:rsidRDefault="00B93212" w:rsidP="00FA6620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of the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International Open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C</w:t>
            </w:r>
            <w:r w:rsidR="006D7830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reative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-Competition</w:t>
            </w:r>
          </w:p>
          <w:p w:rsidR="006D7830" w:rsidRPr="00E5717B" w:rsidRDefault="00BA4464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“</w:t>
            </w:r>
            <w:r w:rsidR="00B8009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The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M</w:t>
            </w:r>
            <w:r w:rsidR="00B8009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 xml:space="preserve">agic of </w:t>
            </w:r>
            <w:r w:rsidR="00A54D49"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W</w:t>
            </w:r>
            <w:r w:rsidRPr="00E5717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atercolor”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0"/>
                <w:tab w:val="left" w:pos="2321"/>
                <w:tab w:val="left" w:pos="2552"/>
                <w:tab w:val="left" w:pos="2718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Общие правила</w:t>
            </w:r>
          </w:p>
          <w:p w:rsidR="009B38E5" w:rsidRPr="00E5717B" w:rsidRDefault="009B38E5" w:rsidP="009B38E5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Настоящие правила регламентируют порядок проведения Международного открытого творческого Фестиваля-конкурса «Волшебство акварели» (далее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Фестиваль-конкурс), определяют условия участия, критерии отбора и оценки работ участников, сроки, порядок проведения.</w:t>
            </w:r>
          </w:p>
          <w:p w:rsidR="009B38E5" w:rsidRPr="00E5717B" w:rsidRDefault="009B38E5" w:rsidP="009B38E5">
            <w:pPr>
              <w:tabs>
                <w:tab w:val="left" w:pos="-851"/>
                <w:tab w:val="left" w:pos="0"/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основывается на принципе равных возможностей для всех участников, что обеспечивается процедурой проведения Фестиваля-конкурса и предоставляет возможность участникам проявить себя в художественно-творческой деятельности.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особенностью Фестиваля-конкурса является его педагогическая направленность, где деятельность участников – это творческое самовыражение, направленное на познание духовных, нравственных ценностей и сохранение культурного наследия.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1. General Regulations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present Regulations specify the procedure of the International open creative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“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magic of watercolor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(further –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), define the conditions of participation, criteria of selection and assessment of participants’ works, dates, terms and procedure.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based on the principle of equal possibilities for all participants that provided by the procedure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and gives opportunity for participants to show their artistic creative activity.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main feature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its pedagogical orientation within that participants’ activity is a creative self-expression directed for the knowledge of spiritual and moral values and preservation of cultural heritage.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Организатор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Организатором Фестиваля-конкурса является федеральное государственное бюджетное образовательное учреждение высшего образования «Академия акварели и изящных искусств Сергея Андрияки».</w:t>
            </w:r>
          </w:p>
          <w:p w:rsidR="009B38E5" w:rsidRPr="00E04977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Социальным партнером Фестиваля-конкурса является Ассоциация учителей образовательной области «Искусство».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2. Organizer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The organizer of the Festival-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ompetition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Federal State Budgetary Educational Institution of Higher Education “Academy of Watercolor and Fine Arts of Sergey 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Andriaka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”.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Social partner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the Regional Public Organization “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Art Educational Area Teachers Association”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Цель и задачи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284"/>
                <w:tab w:val="left" w:pos="47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Фестиваля-конкурса – содействие развитию творческих способностей участников Фестиваля-конкурса, расширение и укрепление международных дружественных отношений в сфере культуры и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376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Задачи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конкурса: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творческих способностей, фантазии и креативного мышления;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уважения к национальным культурным и традициям разных стран;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традиций академического и реалистического искусства в системе художественного образования;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81"/>
                <w:tab w:val="left" w:pos="1106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творческих контактов молодежи и развитие коммуникативной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 участников Фестиваля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конкурса;</w:t>
            </w:r>
          </w:p>
          <w:p w:rsidR="009B38E5" w:rsidRPr="00E04977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искусству как духовному опыту поколений.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lastRenderedPageBreak/>
              <w:t>3. Goal and objectives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3.1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The goal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is promotion for the development of participants’ creative abilities, expansion and consolidation of international friendship relations in culture and education spheres.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3.2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Objectives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are: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development of creative abilities, imagination and creative thinking;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respect for national cultures of different peoples and for traditions of different countries;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preservation of the traditions of academic and realistic art in the system of art education;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● expansion of creative contacts of the youth and development of communicative culture between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participants;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introduction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the art as a spiritual experience of generations.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Оргкомитет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Оргкомитет Фестиваля-конкурса входят: приглашенные специалисты в сфере художественного образования; руководящие сотрудники деканата факультета дополнительного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978"/>
                <w:tab w:val="left" w:pos="113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и полномочия Оргкомитета: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определяет сроки проведения и разрабатывает план ос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новных мероприятий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конкурса;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координирует работу Фестиваля-конкурса между участниками и его организаторами;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оказывает методическую и консультативную помощь участникам Фестиваля-конкурса;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7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курирует участников Фестиваля-конкурса на всех этапах проведения;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  <w:tab w:val="left" w:pos="94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обеспечивает работу Жюри, создание 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интернет-галереи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детских творческих работ, сбор информации о художественно-одаренных детях для их дальнейшего участия в проектах Академии;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>осуществляет организационно-техническое обеспечение работы членов жюри.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4. Organizing committee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4.1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Organizing committee of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includes: invited specialists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in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art education sphere, leading employers of deans office of additional education faculty.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4.2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Functions and authorities of Organizing committee are: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determines the timing and develops schedule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major events;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coordinates the 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F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 work between the participants and its organizers;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provides methodical and consulting support to participants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87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curates the preparation during all stages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; 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70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en-US"/>
              </w:rPr>
              <w:t xml:space="preserve">provides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work of the judges, creation of the online gallery of children's artwork, collection of the information about art-talented children for their further participation in the projects;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carries out the organizational and technical support of the jury's members.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182"/>
                <w:tab w:val="left" w:pos="1418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5. Художест</w:t>
            </w:r>
            <w:r w:rsidR="00F6737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венный совет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Председатель совета: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Андрияка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С.Н.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народный художник РФ, действительный член РАХ, ректор Академии акварели и изящных искусств, художественный руководитель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Члены совета: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Курбатова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кандидат педагогических наук, первый проректор Академии акварели и изящных искусств, председатель ассоциации учителей образовательной области «Искусство».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Волокитина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заслуженный художник РФ, член-корреспондент РАХ, доцент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Беседнова Н.В.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член-корреспондент РАХ, доцент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Волков А.П.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заслуженный художник РФ, старший преподаватель Академии акварели и изящных искусств, преподаватель Школы акварели Сергея Андрияки.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Кравченко А.Ю.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заслуженный художник РФ, член-корреспондент РАХ, профессор Академии акварели и изящных искусств.</w:t>
            </w:r>
          </w:p>
          <w:p w:rsidR="009B38E5" w:rsidRPr="00E5717B" w:rsidRDefault="009B38E5" w:rsidP="009B38E5">
            <w:pPr>
              <w:pStyle w:val="1"/>
              <w:tabs>
                <w:tab w:val="left" w:pos="182"/>
                <w:tab w:val="left" w:pos="8647"/>
              </w:tabs>
              <w:spacing w:line="240" w:lineRule="auto"/>
              <w:ind w:left="0" w:firstLine="0"/>
              <w:jc w:val="both"/>
              <w:rPr>
                <w:sz w:val="20"/>
              </w:rPr>
            </w:pPr>
            <w:r w:rsidRPr="00E5717B">
              <w:rPr>
                <w:b/>
                <w:sz w:val="20"/>
              </w:rPr>
              <w:lastRenderedPageBreak/>
              <w:t xml:space="preserve">Кармазина М.В. – </w:t>
            </w:r>
            <w:r w:rsidRPr="00E5717B">
              <w:rPr>
                <w:sz w:val="20"/>
              </w:rPr>
              <w:t>кандидат педагогических наук, автор школьных учебников по изобразительному искусству, учитель изобразите6льного искусства Центра образования №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109.</w:t>
            </w:r>
          </w:p>
          <w:p w:rsidR="009B38E5" w:rsidRPr="00E5717B" w:rsidRDefault="00E5717B" w:rsidP="009B38E5">
            <w:pPr>
              <w:pStyle w:val="1"/>
              <w:tabs>
                <w:tab w:val="left" w:pos="182"/>
                <w:tab w:val="left" w:pos="8647"/>
              </w:tabs>
              <w:spacing w:after="240" w:line="240" w:lineRule="auto"/>
              <w:ind w:left="0" w:firstLine="0"/>
              <w:rPr>
                <w:b/>
                <w:sz w:val="20"/>
              </w:rPr>
            </w:pPr>
            <w:r>
              <w:rPr>
                <w:sz w:val="20"/>
              </w:rPr>
              <w:t>С</w:t>
            </w:r>
            <w:r w:rsidR="009B38E5" w:rsidRPr="00E5717B">
              <w:rPr>
                <w:sz w:val="20"/>
              </w:rPr>
              <w:t>остав жюри формируется из членов Художественного совета.</w:t>
            </w:r>
          </w:p>
        </w:tc>
        <w:tc>
          <w:tcPr>
            <w:tcW w:w="7273" w:type="dxa"/>
          </w:tcPr>
          <w:p w:rsidR="009B38E5" w:rsidRPr="00F67375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lastRenderedPageBreak/>
              <w:t>5. Art Council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bookmarkStart w:id="0" w:name="_GoBack"/>
            <w:bookmarkEnd w:id="0"/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The Council Chair: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Andriaka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national artist of Russia, member of the Russian Academy of Arts, rector of the Academy of Watercolor and Fine Arts, art director of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Members of the Council: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Kurbatova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candidate of pedagogic sciences, first vice-rector of the Academy of Watercolor and Fine Arts,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chairman of the Art Educational Area Teachers Association.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Olga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Volokitina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honored artist of Russia, corresponding member of the Russian Academy of Arts, assistant professor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Besednova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corresponding member of the Russian Academy of Arts, assistant professor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Alexander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Volkov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honored artist of Russia, senior teacher of the Academy of Watercolor and Fine Arts, teacher in the Sergey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Andriaka’s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Watercolor School.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Alexey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Kravchenko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honored artist of Russia, corresponding member of the Russian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Academy of Arts, professor of the Academy of Watercolor and Fine Arts.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Marina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Karmazina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–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candidate of pedagogic sciences, author of art school-books, art teacher in the Educational Center #109.</w:t>
            </w:r>
          </w:p>
          <w:p w:rsidR="009B38E5" w:rsidRPr="00E04977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panel of judges is formed of the Art Council’s members.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pStyle w:val="1"/>
              <w:tabs>
                <w:tab w:val="left" w:pos="0"/>
                <w:tab w:val="left" w:pos="182"/>
              </w:tabs>
              <w:spacing w:before="240" w:line="240" w:lineRule="auto"/>
              <w:ind w:left="0" w:firstLine="0"/>
              <w:jc w:val="center"/>
              <w:rPr>
                <w:b/>
                <w:sz w:val="20"/>
              </w:rPr>
            </w:pPr>
            <w:r w:rsidRPr="00E5717B">
              <w:rPr>
                <w:b/>
                <w:sz w:val="20"/>
              </w:rPr>
              <w:lastRenderedPageBreak/>
              <w:t>6. Координатор Фестиваля-конкурса</w:t>
            </w:r>
          </w:p>
          <w:p w:rsidR="009B38E5" w:rsidRPr="00E5717B" w:rsidRDefault="009B38E5" w:rsidP="009B38E5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sz w:val="20"/>
              </w:rPr>
            </w:pPr>
            <w:r w:rsidRPr="00E5717B">
              <w:rPr>
                <w:b/>
                <w:sz w:val="20"/>
              </w:rPr>
              <w:t xml:space="preserve">Мартьянова Ольга Вениаминовна – </w:t>
            </w:r>
            <w:r w:rsidRPr="00E5717B">
              <w:rPr>
                <w:sz w:val="20"/>
              </w:rPr>
              <w:t xml:space="preserve">заместитель председателя Ассоциации учителей предметной области «Искусство», заведующий отделением </w:t>
            </w:r>
            <w:proofErr w:type="gramStart"/>
            <w:r w:rsidRPr="00E5717B">
              <w:rPr>
                <w:sz w:val="20"/>
              </w:rPr>
              <w:t>повышения квалификации факультета дополнительного образования Академии акварели</w:t>
            </w:r>
            <w:proofErr w:type="gramEnd"/>
            <w:r w:rsidRPr="00E5717B">
              <w:rPr>
                <w:sz w:val="20"/>
              </w:rPr>
              <w:t xml:space="preserve"> и изящных искусств.</w:t>
            </w:r>
          </w:p>
          <w:p w:rsidR="009B38E5" w:rsidRPr="00E5717B" w:rsidRDefault="009B38E5" w:rsidP="009B38E5">
            <w:pPr>
              <w:pStyle w:val="1"/>
              <w:tabs>
                <w:tab w:val="left" w:pos="0"/>
                <w:tab w:val="left" w:pos="182"/>
              </w:tabs>
              <w:spacing w:line="240" w:lineRule="auto"/>
              <w:ind w:left="0" w:firstLine="0"/>
              <w:rPr>
                <w:i/>
                <w:sz w:val="20"/>
              </w:rPr>
            </w:pPr>
            <w:r w:rsidRPr="00E5717B">
              <w:rPr>
                <w:i/>
                <w:sz w:val="20"/>
              </w:rPr>
              <w:t>+7</w:t>
            </w:r>
            <w:r w:rsidRPr="00E5717B">
              <w:rPr>
                <w:i/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495</w:t>
            </w:r>
            <w:r w:rsidRPr="00E5717B">
              <w:rPr>
                <w:sz w:val="20"/>
                <w:lang w:val="en-US"/>
              </w:rPr>
              <w:t> </w:t>
            </w:r>
            <w:r w:rsidRPr="00E5717B">
              <w:rPr>
                <w:sz w:val="20"/>
              </w:rPr>
              <w:t>531-5555 доб. 356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aquarel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6. Coordinator of the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Olga </w:t>
            </w:r>
            <w:proofErr w:type="spellStart"/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Martyanova</w:t>
            </w:r>
            <w:proofErr w:type="spellEnd"/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–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chief of the Advanced Training Department of the Faculty of Additional Education of the Academy of Watercolor and Fine Arts, vice-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chairman of the Art Educational Area Teachers Association.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+7 495 531-55-55 ext. 356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festival-aquarel@aaii.ru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 Номинации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Графика «Ритмы линий».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Натюрморт «По законам красоты».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Тематическая картина «Мир, в котором я живу».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7. Festival</w:t>
            </w:r>
            <w:r w:rsidR="00817261"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 xml:space="preserve"> Nominations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Graphics «Rhythms of Lines».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Watercolor painting «By the Laws of Beauty».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7.3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Story themed picture «The World I Live In».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 Участники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330"/>
                <w:tab w:val="left" w:pos="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Участниками Фестиваля-конкурса являются обучающиеся общеобразовательных учреждений, специализированных художественных школ и учреждений дополнительного образования.</w:t>
            </w:r>
            <w:proofErr w:type="gramEnd"/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Участие в Фестивале-конкурсе бесплатное.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8.3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Каждый участник представляет не более трех работ.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8.4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Конкурсные работы оцениваются по двум возрастным группам: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1 группа – 11-12 лет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2 группа – 13-14 лет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3 группа – 15-17 лет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8. Participants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8.1. 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participants are students of general education institutions, specialized art schools and academic institutions of additional education.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8.2. Participation is free.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8.3. Each participant presents not more than one piece of art.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8.4. Competition works are assessed by two age groups: 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1 – 11-12 years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2 – 13-14 years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val="en-US"/>
              </w:rPr>
              <w:t>Group 3 – 15-17 years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 Порядок проведения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9.1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>Конкурс проводится в два этапа.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Первый этап – дистанционный: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эл. адресу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 направить фотографию конкурсной работы;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призеры и победители первого дистанционного этапа приглашаются на второй очный тур;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участники получают именные электронные сертификаты.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Второй этап – очный: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второй этап Фестиваля-конкурса проводится в Академии акварели и изящных искусств по адресу: 117133 г. Москва, ул. Академика Варги, д. 15;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 получают именные сертификаты; победители – дипломы, памятные подарки;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процессе проведения Фестиваля-конкурса действует онлайн голосование, которое позволяет посетителям сайта 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Фестиваля-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поддержать конкурсные работы участников, но НЕ ВЛИЯЕТ на результаты голосования Жюри; 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для победителя онлайн голосования предусмотрена награда от организатора Фестиваля-конкурса.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Все расходы, связанные с проездом до места проведения мероприятий Фестиваля-конкурса, проживанием, несёт участник конкурса.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 и партнер имеют право использовать творческие работы, представленные авторами, в рекламно-информационных целях.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9.6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Конкурсные творческие работы очного тура не возвращаются.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9.7.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Вся информация об организации, ходе проведения и результатах Фестиваля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 отражается на сайтах Ассоциации предметной области «Искусство» (</w:t>
            </w:r>
            <w:hyperlink r:id="rId9" w:history="1"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ai</w:t>
              </w:r>
              <w:proofErr w:type="spellEnd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aaii</w:t>
              </w:r>
              <w:proofErr w:type="spellEnd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E5717B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E5717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  <w:t>)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Академии акварели и изящных искусств Сергея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Андрияки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academy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andriaka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9B38E5" w:rsidRPr="00E5717B" w:rsidRDefault="009B38E5" w:rsidP="00817261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9.8.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по всем вопросам, не отраженным в настоящих Правилах, принимает Организатор с учетом интересов участников Фестиваля-конкурса.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lastRenderedPageBreak/>
              <w:t>9. Procedure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9.1. The competition is held in two stages.</w:t>
            </w:r>
          </w:p>
          <w:p w:rsidR="009B38E5" w:rsidRPr="00E5717B" w:rsidRDefault="009B38E5" w:rsidP="009B38E5">
            <w:pPr>
              <w:widowControl w:val="0"/>
              <w:tabs>
                <w:tab w:val="left" w:pos="0"/>
                <w:tab w:val="left" w:pos="93"/>
                <w:tab w:val="left" w:pos="274"/>
                <w:tab w:val="left" w:pos="66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9.2. 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Stage 1 is remote: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to participate in the contest, you need to send the photo of work to 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email </w:t>
            </w:r>
            <w:proofErr w:type="spellStart"/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adress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festival-aqvarel@aaii.ru;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the winners of the first stage are invited to the second internal stage; 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participants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will receive personal certificates.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9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9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.3. </w:t>
            </w: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Stage 2 is intramural: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15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● stage 2 is held at the Academy of Watercolor and Fine Arts: 15,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Akademika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Vargi</w:t>
            </w:r>
            <w:proofErr w:type="spell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Str., Moscow, 117133;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participants</w:t>
            </w:r>
            <w:proofErr w:type="gramEnd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will receive a personal certificates. Winners will receive diploma and gifts;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during the competition also operates online vote. It allows visitors to support their favorite competition works, but not affect the results of the vote of the Jury;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the winner of the online vote will be also gifted by the special prize from 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organizers.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9.4. All costs connected with arrival to the venue of the grand final event, accommodation in the city of the event are carried by participant.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9.5. Organizers and partner have rights to use the creative work presented by the authors in advertising and informational purposes.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9.6. All participants’ works of the internal stage will not be returned.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9.7. All information about the organization, progress and results of the competition is posted on the websites of the Art Educational Area Teachers Association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(ai.aaii.ru) and the Academy of Watercolor and Fine Arts of Sergey 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>Andriaka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(academy-andriaka.ru).</w:t>
            </w:r>
          </w:p>
          <w:p w:rsidR="009B38E5" w:rsidRPr="00E5717B" w:rsidRDefault="009B38E5" w:rsidP="00817261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9.8. Decisions on all matters that are not mentioned in </w:t>
            </w:r>
            <w:proofErr w:type="gramStart"/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this Regulations</w:t>
            </w:r>
            <w:proofErr w:type="gramEnd"/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are made in participants interests by Festival-Competition organizer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 Даты проведения Фестиваля-конкурса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 этап (дистанционный) – 1–30 декабря 2017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1 этапа: январь 2018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2 этап (очный) – 21 апреля 2018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Работа жюри 2 этапа: 23–27 апреля 2018 г.</w:t>
            </w:r>
          </w:p>
          <w:p w:rsidR="009B38E5" w:rsidRPr="00E5717B" w:rsidRDefault="009B38E5" w:rsidP="009B38E5">
            <w:pPr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Награждение: 19 мая 2018 г.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56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10.6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Фестиваль-конку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рс вкл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ючает в себя возможность проведения мастер-классов, семинаров, круглых столов, экскурсий. Сведения и точные даты мероприятий публикуются на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сайте Академии акварели и изящных искусств.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10. Schedule of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</w:t>
            </w:r>
            <w:r w:rsid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n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1 (Remote) – 1-30 December 2017.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1 Jury work – January 2018.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2 (Intramural) – 21 April 2018.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Stage 2 Jury work – 23-27 April 2018.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Awarding gala: 19 May 2018.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10.6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During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it is possible to held masterclasses, seminars, roundtables, excursions. Information and exact dates of events are posted on the site of the Academy of Watercolor and Fine Arts.</w:t>
            </w:r>
          </w:p>
        </w:tc>
      </w:tr>
      <w:tr w:rsidR="00E5717B" w:rsidRPr="00E5717B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182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pacing w:val="-5"/>
                <w:sz w:val="20"/>
                <w:szCs w:val="20"/>
              </w:rPr>
              <w:t>11. Требования к работам, критерии оценки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Требования к работам первого тура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 электронный адрес Фестиваля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festival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-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aqvarel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@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aaii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.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ru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высылается заявка (Приложение 1) и фотография творческой работы (рисунка, выполненного в акварельной или графической технике), а также описание работы, в котором следует указать: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работы с английским переводом (обязательно)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технику исполнения (обязательно), с англ. переводом (желательно)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размеры оригинала в сантиметрах: высота и ширина (обязательно)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Допущенная к участию работа выкладывается в галерею на сайте Фестиваля-конкурса (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ai.aaii.r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требования:</w:t>
            </w:r>
          </w:p>
          <w:p w:rsidR="009B38E5" w:rsidRPr="00E5717B" w:rsidRDefault="009B38E5" w:rsidP="009B38E5">
            <w:pPr>
              <w:tabs>
                <w:tab w:val="left" w:pos="182"/>
                <w:tab w:val="num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 каждого участника принимается 1 файл;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объем загружаемой работы не должен превышать 10 МБ;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приложенного файла рисунка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jpg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формат текстового файла – *.</w:t>
            </w:r>
            <w:proofErr w:type="spell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doc</w:t>
            </w:r>
            <w:proofErr w:type="spellEnd"/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Работы второго тура выполняются на листе формата А3.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11.5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Критерии оценки: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теме Фестиваля</w:t>
            </w:r>
            <w:r w:rsidRPr="00E0497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конкурса;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мастерство исполнения;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образная выразительность;</w:t>
            </w:r>
          </w:p>
          <w:p w:rsidR="009B38E5" w:rsidRPr="00E5717B" w:rsidRDefault="009B38E5" w:rsidP="009B38E5">
            <w:pPr>
              <w:tabs>
                <w:tab w:val="left" w:pos="182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оригинальное решение темы;</w:t>
            </w:r>
          </w:p>
          <w:p w:rsidR="009B38E5" w:rsidRPr="00E5717B" w:rsidRDefault="009B38E5" w:rsidP="009B3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●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аккуратность выполнения работы.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US" w:eastAsia="ru-RU"/>
              </w:rPr>
              <w:lastRenderedPageBreak/>
              <w:t>11. Requirements for the operation, evaluation criteria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11.1. Requirements for the stage 1: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You need to send application (Appendix 1) and photo of creative works to the email of the Festival</w:t>
            </w:r>
            <w:r w:rsidR="00817261"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-Competition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(festival-aqvarel@aaii.ru</w:t>
            </w:r>
            <w:r w:rsidRPr="00E5717B">
              <w:rPr>
                <w:rStyle w:val="a6"/>
                <w:rFonts w:ascii="Times New Roman" w:eastAsia="Times New Roman" w:hAnsi="Times New Roman" w:cs="Times New Roman"/>
                <w:color w:val="auto"/>
                <w:sz w:val="20"/>
                <w:szCs w:val="20"/>
                <w:u w:val="none"/>
                <w:lang w:val="en-US" w:eastAsia="ru-RU"/>
              </w:rPr>
              <w:t>.).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Eligible work is posted in the gallery on the website of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(ai.aaii.ru).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Technical specifications: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each participant should send no more than one file;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size of the loaded work should not exceed 10 MB;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format of the attached image files – *.jpg;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format of the text files – *.doc.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11.4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works of stage 2 are carried out on the A3 format.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11.5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Evaluation Criteria: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compliance with the Festival</w:t>
            </w:r>
            <w:r w:rsidR="00817261"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theme;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mastering;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imaginative expression;</w:t>
            </w:r>
          </w:p>
          <w:p w:rsidR="009B38E5" w:rsidRPr="00E5717B" w:rsidRDefault="009B38E5" w:rsidP="009B38E5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the originality at the topic;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● </w:t>
            </w:r>
            <w:proofErr w:type="gramStart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accuracy</w:t>
            </w:r>
            <w:proofErr w:type="gramEnd"/>
            <w:r w:rsidRPr="00E5717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of realization.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tabs>
                <w:tab w:val="left" w:pos="182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12. Подведение итогов и награждение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Победителями Фестиваля-конкурса становятся участники по трем возрастным категориям, занявшие три призовых места.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1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12.2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</w:rPr>
              <w:t>Победители Фестиваля-конкурса получают официальное сообщение – уведомление о победе, на указанный в заявке электронный адрес, и приглашение на церемонию награждения.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  <w:tab w:val="left" w:pos="86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12.3.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Торжественное вручение дипломов, сертификатов, подарков победителям и участникам Фестиваля-конкурса проводится на базе 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государственного бюджетного образовательного учреждения высшего образования «Академия акварели и изящных искусств Сергея Андрияки» </w:t>
            </w:r>
            <w:r w:rsidRPr="00E5717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(г. Москва, ул. Академика Варги, д. 15).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  <w:tab w:val="left" w:pos="851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12. Summary of the results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Winners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will be participants that took three prizes in three age categories.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Winners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will receive official notification of victory to their e-mail, mentioned in application, and invitation to the awards ceremony.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12.3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The gala with awarding of diplomas, certificates and valuable gifts will be held at the Academy of Watercolor and Fine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Artsa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(15,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Akademika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Vargi</w:t>
            </w:r>
            <w:proofErr w:type="spellEnd"/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Str., Moscow).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widowControl w:val="0"/>
              <w:tabs>
                <w:tab w:val="left" w:pos="182"/>
              </w:tabs>
              <w:snapToGri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 Ожидаемые результаты Фестиваля-конкурса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Одним из ожидаемых результатов является привлечение внимания общественности к развитию художественно-творческой деятельности, повышение статуса художественного образования.</w:t>
            </w:r>
          </w:p>
          <w:p w:rsidR="009B38E5" w:rsidRPr="00E5717B" w:rsidRDefault="009B38E5" w:rsidP="009B38E5">
            <w:pPr>
              <w:widowControl w:val="0"/>
              <w:tabs>
                <w:tab w:val="left" w:pos="182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Фестиваль-конкурс призван способствовать развитию духовно-нравственной культуры молодого поколения.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tabs>
                <w:tab w:val="left" w:pos="0"/>
                <w:tab w:val="left" w:pos="93"/>
                <w:tab w:val="left" w:pos="274"/>
                <w:tab w:val="left" w:pos="660"/>
              </w:tabs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13. Expected results of the Festival</w:t>
            </w:r>
            <w:r w:rsidR="00817261" w:rsidRPr="00E57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-Competition</w:t>
            </w:r>
          </w:p>
          <w:p w:rsidR="009B38E5" w:rsidRPr="00E5717B" w:rsidRDefault="009B38E5" w:rsidP="009B38E5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13.1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One of the expected results of 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-Competition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 xml:space="preserve"> is a gradual change in public attitudes to artistic and creative activities and improvement of its status.</w:t>
            </w:r>
          </w:p>
          <w:p w:rsidR="009B38E5" w:rsidRPr="00E5717B" w:rsidRDefault="009B38E5" w:rsidP="00817261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13.2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 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The Festival</w:t>
            </w:r>
            <w:r w:rsidR="00817261"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-C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ompetition will foster a spiritual and moral culture of young generation.</w:t>
            </w:r>
          </w:p>
        </w:tc>
      </w:tr>
      <w:tr w:rsidR="00E5717B" w:rsidRPr="00F67375" w:rsidTr="00E5717B">
        <w:trPr>
          <w:trHeight w:val="190"/>
          <w:jc w:val="center"/>
        </w:trPr>
        <w:tc>
          <w:tcPr>
            <w:tcW w:w="7621" w:type="dxa"/>
          </w:tcPr>
          <w:p w:rsidR="009B38E5" w:rsidRPr="00E5717B" w:rsidRDefault="009B38E5" w:rsidP="00E5717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Дополнительную информацию можно получить по 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телефону +7 495 531-55-55, доб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E5717B">
              <w:rPr>
                <w:rFonts w:ascii="Times New Roman" w:eastAsia="Calibri" w:hAnsi="Times New Roman" w:cs="Times New Roman"/>
                <w:sz w:val="20"/>
                <w:szCs w:val="20"/>
              </w:rPr>
              <w:t>123, 348, 356, 161</w:t>
            </w:r>
          </w:p>
        </w:tc>
        <w:tc>
          <w:tcPr>
            <w:tcW w:w="7273" w:type="dxa"/>
          </w:tcPr>
          <w:p w:rsidR="009B38E5" w:rsidRPr="00E5717B" w:rsidRDefault="009B38E5" w:rsidP="00E5717B">
            <w:pPr>
              <w:shd w:val="clear" w:color="auto" w:fill="FFFFFF"/>
              <w:tabs>
                <w:tab w:val="left" w:pos="0"/>
                <w:tab w:val="left" w:pos="93"/>
                <w:tab w:val="left" w:pos="274"/>
                <w:tab w:val="left" w:pos="6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E571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Additional information can be received at +7 495 531-</w:t>
            </w:r>
            <w:r w:rsidRPr="00E5717B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en-US"/>
              </w:rPr>
              <w:t>55-55 ext. 123, 348, 356, 161</w:t>
            </w:r>
          </w:p>
        </w:tc>
      </w:tr>
    </w:tbl>
    <w:p w:rsidR="00B77E0C" w:rsidRPr="009B38E5" w:rsidRDefault="00B77E0C">
      <w:pPr>
        <w:rPr>
          <w:lang w:val="en-US"/>
        </w:rPr>
      </w:pPr>
      <w:r w:rsidRPr="009B38E5">
        <w:rPr>
          <w:lang w:val="en-US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9"/>
        <w:gridCol w:w="1984"/>
        <w:gridCol w:w="284"/>
        <w:gridCol w:w="4203"/>
        <w:gridCol w:w="191"/>
        <w:gridCol w:w="45"/>
        <w:gridCol w:w="250"/>
        <w:gridCol w:w="236"/>
        <w:gridCol w:w="236"/>
        <w:gridCol w:w="2059"/>
        <w:gridCol w:w="9"/>
        <w:gridCol w:w="283"/>
        <w:gridCol w:w="4062"/>
        <w:gridCol w:w="191"/>
        <w:gridCol w:w="45"/>
        <w:gridCol w:w="236"/>
      </w:tblGrid>
      <w:tr w:rsidR="006B6664" w:rsidRPr="006B6664" w:rsidTr="006B6664">
        <w:trPr>
          <w:jc w:val="center"/>
        </w:trPr>
        <w:tc>
          <w:tcPr>
            <w:tcW w:w="7151" w:type="dxa"/>
            <w:gridSpan w:val="6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295" w:type="dxa"/>
            <w:gridSpan w:val="2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76" w:type="dxa"/>
            <w:gridSpan w:val="7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Appendix 1</w:t>
            </w:r>
          </w:p>
        </w:tc>
        <w:tc>
          <w:tcPr>
            <w:tcW w:w="281" w:type="dxa"/>
            <w:gridSpan w:val="2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7446" w:type="dxa"/>
            <w:gridSpan w:val="8"/>
          </w:tcPr>
          <w:p w:rsidR="005D14FD" w:rsidRPr="006B6664" w:rsidRDefault="005D14FD" w:rsidP="005D14FD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57" w:type="dxa"/>
            <w:gridSpan w:val="9"/>
          </w:tcPr>
          <w:p w:rsidR="005D14FD" w:rsidRPr="006B6664" w:rsidRDefault="005D14FD" w:rsidP="005D14F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17261" w:rsidRPr="00F67375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17261" w:rsidRPr="00E04977" w:rsidRDefault="00817261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участие в Фестивале-конкурсе «Волшебство акварели»</w:t>
            </w: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APPLICATION</w:t>
            </w:r>
          </w:p>
          <w:p w:rsidR="00817261" w:rsidRPr="006B6664" w:rsidRDefault="00817261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for participation in the Festival-Competition “The Magic of Watercolor”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FD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Full Name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5D14FD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Titl</w:t>
            </w:r>
            <w:r w:rsidR="00817261"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 of work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Age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Образовательное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Educational institution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преподавателя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Name of teacher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Населённый пункт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Settelement</w:t>
            </w:r>
            <w:proofErr w:type="spellEnd"/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Страна/регион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Country/Region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F67375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Домашний адрес</w:t>
            </w:r>
          </w:p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индексом)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Home address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(with ZIP code) 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F67375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Контактный телефон</w:t>
            </w:r>
          </w:p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кодом города)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E04977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4FD" w:rsidRPr="00E04977" w:rsidRDefault="005D14FD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Contact phone number</w:t>
            </w:r>
          </w:p>
          <w:p w:rsidR="00817261" w:rsidRPr="006B6664" w:rsidRDefault="00817261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(including city code)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817261" w:rsidP="005D14FD">
            <w:pPr>
              <w:widowControl w:val="0"/>
              <w:snapToGrid w:val="0"/>
              <w:ind w:firstLine="2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E-mail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61" w:rsidRPr="006B6664" w:rsidRDefault="005D14FD" w:rsidP="005D14FD">
            <w:pPr>
              <w:widowControl w:val="0"/>
              <w:snapToGri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6B66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Email</w:t>
            </w:r>
          </w:p>
        </w:tc>
        <w:tc>
          <w:tcPr>
            <w:tcW w:w="4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trHeight w:val="676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" w:type="dxa"/>
            <w:gridSpan w:val="2"/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9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hAnsi="Times New Roman" w:cs="Times New Roman"/>
                <w:sz w:val="16"/>
                <w:szCs w:val="20"/>
              </w:rPr>
              <w:t>Подпись родителей</w:t>
            </w:r>
          </w:p>
        </w:tc>
        <w:tc>
          <w:tcPr>
            <w:tcW w:w="284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3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(</w:t>
            </w:r>
            <w:r w:rsidRPr="006B6664">
              <w:rPr>
                <w:rFonts w:ascii="Times New Roman" w:hAnsi="Times New Roman" w:cs="Times New Roman"/>
                <w:sz w:val="16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подписи</w:t>
            </w:r>
            <w:r w:rsidRPr="006B666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)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68" w:type="dxa"/>
            <w:gridSpan w:val="2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Sign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ature</w:t>
            </w: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 xml:space="preserve">the </w:t>
            </w:r>
            <w:r w:rsidRPr="006B6664"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  <w:t>Parents</w:t>
            </w:r>
          </w:p>
        </w:tc>
        <w:tc>
          <w:tcPr>
            <w:tcW w:w="283" w:type="dxa"/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2" w:type="dxa"/>
          </w:tcPr>
          <w:p w:rsidR="006B6664" w:rsidRPr="006B6664" w:rsidRDefault="006B6664" w:rsidP="006B6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t</w:t>
            </w: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>ranscript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ru-RU"/>
              </w:rPr>
              <w:t xml:space="preserve"> of signature</w:t>
            </w:r>
            <w:r w:rsidRPr="006B6664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B6664" w:rsidRPr="006B6664" w:rsidRDefault="006B6664" w:rsidP="005D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17261" w:rsidRPr="006B6664" w:rsidTr="005D14FD">
        <w:trPr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23" w:type="dxa"/>
            <w:gridSpan w:val="4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1" w:type="dxa"/>
            <w:gridSpan w:val="4"/>
            <w:tcBorders>
              <w:righ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17261" w:rsidRPr="006B6664" w:rsidRDefault="00817261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664" w:rsidRPr="006B6664" w:rsidTr="006B6664">
        <w:trPr>
          <w:trHeight w:val="495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</w:tcBorders>
            <w:vAlign w:val="center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B6664">
              <w:rPr>
                <w:rFonts w:ascii="Times New Roman" w:hAnsi="Times New Roman" w:cs="Times New Roman"/>
                <w:sz w:val="20"/>
                <w:szCs w:val="20"/>
              </w:rPr>
              <w:t>Дата подачи</w:t>
            </w:r>
          </w:p>
        </w:tc>
        <w:tc>
          <w:tcPr>
            <w:tcW w:w="4487" w:type="dxa"/>
            <w:gridSpan w:val="2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</w:tcBorders>
            <w:vAlign w:val="center"/>
          </w:tcPr>
          <w:p w:rsidR="006B6664" w:rsidRPr="006B6664" w:rsidRDefault="006B6664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6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Filing Date</w:t>
            </w:r>
          </w:p>
        </w:tc>
        <w:tc>
          <w:tcPr>
            <w:tcW w:w="4345" w:type="dxa"/>
            <w:gridSpan w:val="2"/>
            <w:tcBorders>
              <w:bottom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6B6664" w:rsidRPr="006B6664" w:rsidRDefault="006B6664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4FD" w:rsidRPr="006B6664" w:rsidTr="005D14FD">
        <w:trPr>
          <w:trHeight w:val="495"/>
          <w:jc w:val="center"/>
        </w:trPr>
        <w:tc>
          <w:tcPr>
            <w:tcW w:w="250" w:type="dxa"/>
            <w:tcBorders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4FD" w:rsidRPr="006B6664" w:rsidRDefault="005D14FD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0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14FD" w:rsidRPr="006B6664" w:rsidRDefault="005D14FD" w:rsidP="005D14F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5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D14FD" w:rsidRPr="006B6664" w:rsidRDefault="005D14FD" w:rsidP="005D14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B6664" w:rsidRDefault="006B6664">
      <w:pPr>
        <w:rPr>
          <w:lang w:val="en-US"/>
        </w:rPr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3235"/>
        <w:gridCol w:w="237"/>
        <w:gridCol w:w="236"/>
        <w:gridCol w:w="2954"/>
        <w:gridCol w:w="283"/>
        <w:gridCol w:w="251"/>
        <w:gridCol w:w="236"/>
        <w:gridCol w:w="3199"/>
        <w:gridCol w:w="289"/>
        <w:gridCol w:w="278"/>
        <w:gridCol w:w="3119"/>
        <w:gridCol w:w="327"/>
      </w:tblGrid>
      <w:tr w:rsidR="00D63DC0" w:rsidRPr="00F67375" w:rsidTr="00E5717B">
        <w:trPr>
          <w:trHeight w:val="416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</w:pPr>
            <w:r w:rsidRPr="00B77E0C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DC0" w:rsidRPr="00D63DC0" w:rsidRDefault="00D63DC0" w:rsidP="00D63DC0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3DC0" w:rsidRPr="00D63DC0" w:rsidRDefault="00D63DC0" w:rsidP="00D63DC0">
            <w:pPr>
              <w:jc w:val="center"/>
            </w:pPr>
          </w:p>
        </w:tc>
        <w:tc>
          <w:tcPr>
            <w:tcW w:w="6885" w:type="dxa"/>
            <w:gridSpan w:val="4"/>
            <w:tcBorders>
              <w:top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  <w:rPr>
                <w:lang w:val="en-US"/>
              </w:rPr>
            </w:pPr>
            <w:r w:rsidRPr="00B77E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Consent to personal data processing</w:t>
            </w: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3DC0" w:rsidRPr="006B6664" w:rsidRDefault="00D63DC0" w:rsidP="00D63DC0">
            <w:pPr>
              <w:jc w:val="center"/>
              <w:rPr>
                <w:lang w:val="en-US"/>
              </w:rPr>
            </w:pPr>
          </w:p>
        </w:tc>
      </w:tr>
      <w:tr w:rsidR="00D63DC0" w:rsidRPr="00F67375" w:rsidTr="00E5717B">
        <w:tc>
          <w:tcPr>
            <w:tcW w:w="250" w:type="dxa"/>
            <w:tcBorders>
              <w:left w:val="single" w:sz="4" w:space="0" w:color="auto"/>
            </w:tcBorders>
          </w:tcPr>
          <w:p w:rsidR="00D63DC0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</w:pPr>
          </w:p>
        </w:tc>
        <w:tc>
          <w:tcPr>
            <w:tcW w:w="6945" w:type="dxa"/>
            <w:gridSpan w:val="5"/>
            <w:tcBorders>
              <w:right w:val="single" w:sz="4" w:space="0" w:color="auto"/>
            </w:tcBorders>
          </w:tcPr>
          <w:p w:rsidR="00D63DC0" w:rsidRPr="00E04977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Для обеспечения возможности участия моего ребенка в Фестивале-конкурсе, проводимом Академией акварели и изящных искусств (далее – Конкурс), во исполнение требований Федерального закона от 27 июля 2006 г. №152-ФЗ «О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 </w:t>
            </w: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персональных данных», настоящим я подтверждаю согласие на обработку Оргкомитетом Конкурса персональных данных моего ребенка, включающих: ФИО, дату рождения, адрес регистрации, контактный телефон, сведения о месте учебы, а также иных данных, необходимых для регистрации в качестве участника Конкурса. Оргкомитет вправе обрабатывать персональные данные моего ребенка посредством внесения их в электронные базы данных, включающие списки участников, победителей и призеров Конкурса, а также их публикацию.</w:t>
            </w:r>
          </w:p>
          <w:p w:rsidR="00D63DC0" w:rsidRPr="00D63DC0" w:rsidRDefault="00D63DC0" w:rsidP="00D63DC0">
            <w:pPr>
              <w:widowControl w:val="0"/>
              <w:spacing w:before="2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Прием и обработка персональных данных будет осуществляться лицом, обязанным сохранять конфиденциальность персональных данных.</w:t>
            </w: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D63DC0" w:rsidRPr="00D63DC0" w:rsidRDefault="00D63DC0" w:rsidP="00D63DC0">
            <w:pPr>
              <w:widowControl w:val="0"/>
              <w:spacing w:before="240"/>
              <w:jc w:val="both"/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D63DC0" w:rsidRP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5" w:type="dxa"/>
            <w:gridSpan w:val="4"/>
          </w:tcPr>
          <w:p w:rsid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 secure the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opportunity of participation in Festival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-Competition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held by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Academy of Watercolor (further </w:t>
            </w:r>
            <w:r w:rsidRPr="00B77E0C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–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Competition), according to requirements of the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Federal Law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#152-FZ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dated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27 July 2006 “About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Personal Data”, 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hereby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confirm my consent to processing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the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personal data of my child by Organizing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ommittee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of the Competition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including name, date of birth, address of registration, contact number, information from education organization,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and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other 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information which is necessary for registration as Competition participant. Organizing committee has all rights to process personal data of my child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regist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r in electronic data base, including list of participants, winners and laureates of Competition and also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its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publication.</w:t>
            </w:r>
          </w:p>
          <w:p w:rsidR="00D63DC0" w:rsidRDefault="00D63DC0" w:rsidP="00D63DC0">
            <w:pPr>
              <w:spacing w:before="2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ta processing will be carri</w:t>
            </w:r>
            <w:r w:rsidRPr="00B77E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ed by person, obliged to save confidence of personal data.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D63DC0" w:rsidRDefault="00D63DC0" w:rsidP="00D63DC0">
            <w:pPr>
              <w:spacing w:before="240"/>
              <w:rPr>
                <w:lang w:val="en-US"/>
              </w:rPr>
            </w:pPr>
          </w:p>
        </w:tc>
      </w:tr>
      <w:tr w:rsidR="00E5717B" w:rsidRPr="00F67375" w:rsidTr="00E5717B">
        <w:trPr>
          <w:trHeight w:val="746"/>
        </w:trPr>
        <w:tc>
          <w:tcPr>
            <w:tcW w:w="250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7" w:type="dxa"/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Default="00E5717B" w:rsidP="00D63DC0">
            <w:pPr>
              <w:jc w:val="center"/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289" w:type="dxa"/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278" w:type="dxa"/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E5717B" w:rsidRDefault="00E5717B">
            <w:pPr>
              <w:rPr>
                <w:lang w:val="en-US"/>
              </w:rPr>
            </w:pPr>
          </w:p>
        </w:tc>
      </w:tr>
      <w:tr w:rsidR="00E5717B" w:rsidTr="00E5717B">
        <w:tc>
          <w:tcPr>
            <w:tcW w:w="250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top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(ФИО)</w:t>
            </w:r>
          </w:p>
        </w:tc>
        <w:tc>
          <w:tcPr>
            <w:tcW w:w="237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954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 xml:space="preserve">Full 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>Name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289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78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119" w:type="dxa"/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(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val="en-US" w:eastAsia="ru-RU"/>
              </w:rPr>
              <w:t>Signature</w:t>
            </w:r>
            <w:r w:rsidRPr="00D63DC0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327" w:type="dxa"/>
            <w:tcBorders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</w:tr>
      <w:tr w:rsidR="00E5717B" w:rsidTr="00E5717B">
        <w:trPr>
          <w:trHeight w:val="63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5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left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488" w:type="dxa"/>
            <w:gridSpan w:val="2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  <w:lang w:eastAsia="ru-RU"/>
              </w:rPr>
            </w:pPr>
          </w:p>
        </w:tc>
        <w:tc>
          <w:tcPr>
            <w:tcW w:w="327" w:type="dxa"/>
            <w:tcBorders>
              <w:bottom w:val="single" w:sz="4" w:space="0" w:color="auto"/>
              <w:right w:val="single" w:sz="4" w:space="0" w:color="auto"/>
            </w:tcBorders>
          </w:tcPr>
          <w:p w:rsidR="00E5717B" w:rsidRPr="00D63DC0" w:rsidRDefault="00E5717B" w:rsidP="00D63DC0">
            <w:pPr>
              <w:jc w:val="center"/>
              <w:rPr>
                <w:sz w:val="16"/>
                <w:lang w:val="en-US"/>
              </w:rPr>
            </w:pPr>
          </w:p>
        </w:tc>
      </w:tr>
    </w:tbl>
    <w:p w:rsidR="006D7830" w:rsidRPr="00B77E0C" w:rsidRDefault="006D7830" w:rsidP="006D7830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D7830" w:rsidRPr="00B77E0C" w:rsidSect="00E04977">
          <w:type w:val="continuous"/>
          <w:pgSz w:w="16838" w:h="11906" w:orient="landscape"/>
          <w:pgMar w:top="1440" w:right="1080" w:bottom="1440" w:left="1080" w:header="709" w:footer="709" w:gutter="0"/>
          <w:cols w:space="720"/>
          <w:docGrid w:linePitch="299"/>
        </w:sectPr>
      </w:pPr>
    </w:p>
    <w:p w:rsidR="00CF69B2" w:rsidRPr="00B77E0C" w:rsidRDefault="00CF69B2" w:rsidP="00E04977">
      <w:pPr>
        <w:rPr>
          <w:rFonts w:ascii="Times New Roman" w:hAnsi="Times New Roman" w:cs="Times New Roman"/>
          <w:sz w:val="20"/>
          <w:szCs w:val="20"/>
        </w:rPr>
      </w:pPr>
    </w:p>
    <w:sectPr w:rsidR="00CF69B2" w:rsidRPr="00B77E0C" w:rsidSect="00E04977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70" w:rsidRDefault="00CE2470" w:rsidP="00080894">
      <w:pPr>
        <w:spacing w:after="0" w:line="240" w:lineRule="auto"/>
      </w:pPr>
      <w:r>
        <w:separator/>
      </w:r>
    </w:p>
  </w:endnote>
  <w:endnote w:type="continuationSeparator" w:id="0">
    <w:p w:rsidR="00CE2470" w:rsidRDefault="00CE2470" w:rsidP="0008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70" w:rsidRDefault="00CE2470" w:rsidP="00080894">
      <w:pPr>
        <w:spacing w:after="0" w:line="240" w:lineRule="auto"/>
      </w:pPr>
      <w:r>
        <w:separator/>
      </w:r>
    </w:p>
  </w:footnote>
  <w:footnote w:type="continuationSeparator" w:id="0">
    <w:p w:rsidR="00CE2470" w:rsidRDefault="00CE2470" w:rsidP="00080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629"/>
    <w:multiLevelType w:val="hybridMultilevel"/>
    <w:tmpl w:val="87E2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63962"/>
    <w:multiLevelType w:val="multilevel"/>
    <w:tmpl w:val="2E9A4594"/>
    <w:lvl w:ilvl="0">
      <w:start w:val="8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36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</w:lvl>
    <w:lvl w:ilvl="4">
      <w:start w:val="1"/>
      <w:numFmt w:val="decimal"/>
      <w:isLgl/>
      <w:lvlText w:val="%1.%2.%3.%4.%5."/>
      <w:lvlJc w:val="left"/>
      <w:pPr>
        <w:ind w:left="2970" w:hanging="1080"/>
      </w:pPr>
    </w:lvl>
    <w:lvl w:ilvl="5">
      <w:start w:val="1"/>
      <w:numFmt w:val="decimal"/>
      <w:isLgl/>
      <w:lvlText w:val="%1.%2.%3.%4.%5.%6."/>
      <w:lvlJc w:val="left"/>
      <w:pPr>
        <w:ind w:left="3330" w:hanging="1080"/>
      </w:pPr>
    </w:lvl>
    <w:lvl w:ilvl="6">
      <w:start w:val="1"/>
      <w:numFmt w:val="decimal"/>
      <w:isLgl/>
      <w:lvlText w:val="%1.%2.%3.%4.%5.%6.%7."/>
      <w:lvlJc w:val="left"/>
      <w:pPr>
        <w:ind w:left="3690" w:hanging="1080"/>
      </w:p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</w:lvl>
    <w:lvl w:ilvl="8">
      <w:start w:val="1"/>
      <w:numFmt w:val="decimal"/>
      <w:isLgl/>
      <w:lvlText w:val="%1.%2.%3.%4.%5.%6.%7.%8.%9."/>
      <w:lvlJc w:val="left"/>
      <w:pPr>
        <w:ind w:left="4770" w:hanging="1440"/>
      </w:pPr>
    </w:lvl>
  </w:abstractNum>
  <w:abstractNum w:abstractNumId="2">
    <w:nsid w:val="1A015996"/>
    <w:multiLevelType w:val="hybridMultilevel"/>
    <w:tmpl w:val="3280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A6E09"/>
    <w:multiLevelType w:val="hybridMultilevel"/>
    <w:tmpl w:val="376ED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4743"/>
    <w:multiLevelType w:val="hybridMultilevel"/>
    <w:tmpl w:val="B55E5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113A6"/>
    <w:multiLevelType w:val="hybridMultilevel"/>
    <w:tmpl w:val="E3304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8E74E2"/>
    <w:multiLevelType w:val="hybridMultilevel"/>
    <w:tmpl w:val="B75605C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B7037C"/>
    <w:multiLevelType w:val="hybridMultilevel"/>
    <w:tmpl w:val="D546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1366A2"/>
    <w:multiLevelType w:val="hybridMultilevel"/>
    <w:tmpl w:val="2A9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D3D2F"/>
    <w:multiLevelType w:val="multilevel"/>
    <w:tmpl w:val="DE063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8" w:hanging="1440"/>
      </w:pPr>
      <w:rPr>
        <w:rFonts w:hint="default"/>
      </w:rPr>
    </w:lvl>
  </w:abstractNum>
  <w:abstractNum w:abstractNumId="10">
    <w:nsid w:val="2B7153CC"/>
    <w:multiLevelType w:val="hybridMultilevel"/>
    <w:tmpl w:val="19567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D5BD9"/>
    <w:multiLevelType w:val="multilevel"/>
    <w:tmpl w:val="BF98A88E"/>
    <w:lvl w:ilvl="0">
      <w:start w:val="8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990" w:hanging="405"/>
      </w:pPr>
    </w:lvl>
    <w:lvl w:ilvl="2">
      <w:start w:val="2"/>
      <w:numFmt w:val="decimal"/>
      <w:lvlText w:val="%1.%2.%3"/>
      <w:lvlJc w:val="left"/>
      <w:pPr>
        <w:ind w:left="1890" w:hanging="720"/>
      </w:pPr>
    </w:lvl>
    <w:lvl w:ilvl="3">
      <w:start w:val="1"/>
      <w:numFmt w:val="decimal"/>
      <w:lvlText w:val="%1.%2.%3.%4"/>
      <w:lvlJc w:val="left"/>
      <w:pPr>
        <w:ind w:left="2475" w:hanging="720"/>
      </w:pPr>
    </w:lvl>
    <w:lvl w:ilvl="4">
      <w:start w:val="1"/>
      <w:numFmt w:val="decimal"/>
      <w:lvlText w:val="%1.%2.%3.%4.%5"/>
      <w:lvlJc w:val="left"/>
      <w:pPr>
        <w:ind w:left="3060" w:hanging="720"/>
      </w:pPr>
    </w:lvl>
    <w:lvl w:ilvl="5">
      <w:start w:val="1"/>
      <w:numFmt w:val="decimal"/>
      <w:lvlText w:val="%1.%2.%3.%4.%5.%6"/>
      <w:lvlJc w:val="left"/>
      <w:pPr>
        <w:ind w:left="4005" w:hanging="1080"/>
      </w:pPr>
    </w:lvl>
    <w:lvl w:ilvl="6">
      <w:start w:val="1"/>
      <w:numFmt w:val="decimal"/>
      <w:lvlText w:val="%1.%2.%3.%4.%5.%6.%7"/>
      <w:lvlJc w:val="left"/>
      <w:pPr>
        <w:ind w:left="4590" w:hanging="1080"/>
      </w:pPr>
    </w:lvl>
    <w:lvl w:ilvl="7">
      <w:start w:val="1"/>
      <w:numFmt w:val="decimal"/>
      <w:lvlText w:val="%1.%2.%3.%4.%5.%6.%7.%8"/>
      <w:lvlJc w:val="left"/>
      <w:pPr>
        <w:ind w:left="5535" w:hanging="1440"/>
      </w:pPr>
    </w:lvl>
    <w:lvl w:ilvl="8">
      <w:start w:val="1"/>
      <w:numFmt w:val="decimal"/>
      <w:lvlText w:val="%1.%2.%3.%4.%5.%6.%7.%8.%9"/>
      <w:lvlJc w:val="left"/>
      <w:pPr>
        <w:ind w:left="6120" w:hanging="1440"/>
      </w:pPr>
    </w:lvl>
  </w:abstractNum>
  <w:abstractNum w:abstractNumId="12">
    <w:nsid w:val="42697927"/>
    <w:multiLevelType w:val="multilevel"/>
    <w:tmpl w:val="4A808C7A"/>
    <w:lvl w:ilvl="0">
      <w:start w:val="10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3">
    <w:nsid w:val="441F2E7E"/>
    <w:multiLevelType w:val="hybridMultilevel"/>
    <w:tmpl w:val="0A34C216"/>
    <w:lvl w:ilvl="0" w:tplc="88BE7FCA">
      <w:start w:val="10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A5137FC"/>
    <w:multiLevelType w:val="hybridMultilevel"/>
    <w:tmpl w:val="997A7C6A"/>
    <w:lvl w:ilvl="0" w:tplc="A2FC481A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E3D3C"/>
    <w:multiLevelType w:val="hybridMultilevel"/>
    <w:tmpl w:val="CB78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D56729"/>
    <w:multiLevelType w:val="hybridMultilevel"/>
    <w:tmpl w:val="9FB0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B969B5"/>
    <w:multiLevelType w:val="hybridMultilevel"/>
    <w:tmpl w:val="0E006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57D9F"/>
    <w:multiLevelType w:val="hybridMultilevel"/>
    <w:tmpl w:val="02B2AF9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65D446F0"/>
    <w:multiLevelType w:val="hybridMultilevel"/>
    <w:tmpl w:val="4C2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D33C7"/>
    <w:multiLevelType w:val="multilevel"/>
    <w:tmpl w:val="D8EA2098"/>
    <w:lvl w:ilvl="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7CFD4E6B"/>
    <w:multiLevelType w:val="hybridMultilevel"/>
    <w:tmpl w:val="3BFA6B0C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7"/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21"/>
  </w:num>
  <w:num w:numId="16">
    <w:abstractNumId w:val="18"/>
  </w:num>
  <w:num w:numId="17">
    <w:abstractNumId w:val="11"/>
    <w:lvlOverride w:ilvl="0">
      <w:startOverride w:val="8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  <w:num w:numId="20">
    <w:abstractNumId w:val="19"/>
  </w:num>
  <w:num w:numId="21">
    <w:abstractNumId w:val="1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30"/>
    <w:rsid w:val="00001C53"/>
    <w:rsid w:val="000316FA"/>
    <w:rsid w:val="0003539C"/>
    <w:rsid w:val="00046046"/>
    <w:rsid w:val="00070924"/>
    <w:rsid w:val="00080894"/>
    <w:rsid w:val="000F43A4"/>
    <w:rsid w:val="000F47C3"/>
    <w:rsid w:val="0011309F"/>
    <w:rsid w:val="00171554"/>
    <w:rsid w:val="001826D2"/>
    <w:rsid w:val="001B18B8"/>
    <w:rsid w:val="001E4905"/>
    <w:rsid w:val="001E6CA3"/>
    <w:rsid w:val="001E6F17"/>
    <w:rsid w:val="00203DE2"/>
    <w:rsid w:val="0021174D"/>
    <w:rsid w:val="00277490"/>
    <w:rsid w:val="002A26A3"/>
    <w:rsid w:val="002E3009"/>
    <w:rsid w:val="00333BBD"/>
    <w:rsid w:val="00352F95"/>
    <w:rsid w:val="003932E0"/>
    <w:rsid w:val="003A4F74"/>
    <w:rsid w:val="003B6D52"/>
    <w:rsid w:val="003D3817"/>
    <w:rsid w:val="003E1C3A"/>
    <w:rsid w:val="00413951"/>
    <w:rsid w:val="00417625"/>
    <w:rsid w:val="004535A6"/>
    <w:rsid w:val="004638A8"/>
    <w:rsid w:val="0046560B"/>
    <w:rsid w:val="00466F22"/>
    <w:rsid w:val="004732D6"/>
    <w:rsid w:val="004E292C"/>
    <w:rsid w:val="004E3222"/>
    <w:rsid w:val="004E4638"/>
    <w:rsid w:val="00503BF1"/>
    <w:rsid w:val="005851F0"/>
    <w:rsid w:val="005A11CC"/>
    <w:rsid w:val="005A59D4"/>
    <w:rsid w:val="005B13D0"/>
    <w:rsid w:val="005C1FC7"/>
    <w:rsid w:val="005D14FD"/>
    <w:rsid w:val="00606BE3"/>
    <w:rsid w:val="006211F0"/>
    <w:rsid w:val="00643943"/>
    <w:rsid w:val="006623ED"/>
    <w:rsid w:val="00665421"/>
    <w:rsid w:val="00676750"/>
    <w:rsid w:val="006959EA"/>
    <w:rsid w:val="006A2BD8"/>
    <w:rsid w:val="006B6664"/>
    <w:rsid w:val="006D7830"/>
    <w:rsid w:val="006F53D1"/>
    <w:rsid w:val="006F7160"/>
    <w:rsid w:val="00707215"/>
    <w:rsid w:val="0071365F"/>
    <w:rsid w:val="0073189E"/>
    <w:rsid w:val="007446E1"/>
    <w:rsid w:val="007970F7"/>
    <w:rsid w:val="007C35DF"/>
    <w:rsid w:val="007E55C6"/>
    <w:rsid w:val="007E7329"/>
    <w:rsid w:val="008023D1"/>
    <w:rsid w:val="00817261"/>
    <w:rsid w:val="00824005"/>
    <w:rsid w:val="008249BD"/>
    <w:rsid w:val="008A6F6F"/>
    <w:rsid w:val="008B750C"/>
    <w:rsid w:val="00926A52"/>
    <w:rsid w:val="0093751D"/>
    <w:rsid w:val="00963056"/>
    <w:rsid w:val="0099531F"/>
    <w:rsid w:val="009A5130"/>
    <w:rsid w:val="009B18CB"/>
    <w:rsid w:val="009B38E5"/>
    <w:rsid w:val="009E489C"/>
    <w:rsid w:val="00A50AAD"/>
    <w:rsid w:val="00A546EA"/>
    <w:rsid w:val="00A54D49"/>
    <w:rsid w:val="00A73D9D"/>
    <w:rsid w:val="00A85073"/>
    <w:rsid w:val="00AD7A81"/>
    <w:rsid w:val="00B466EA"/>
    <w:rsid w:val="00B62459"/>
    <w:rsid w:val="00B77E0C"/>
    <w:rsid w:val="00B80099"/>
    <w:rsid w:val="00B93212"/>
    <w:rsid w:val="00BA4464"/>
    <w:rsid w:val="00C356AA"/>
    <w:rsid w:val="00C402FC"/>
    <w:rsid w:val="00C51B06"/>
    <w:rsid w:val="00C5500F"/>
    <w:rsid w:val="00C652A3"/>
    <w:rsid w:val="00CE2470"/>
    <w:rsid w:val="00CF69B2"/>
    <w:rsid w:val="00D060AF"/>
    <w:rsid w:val="00D20B20"/>
    <w:rsid w:val="00D430A0"/>
    <w:rsid w:val="00D50BC2"/>
    <w:rsid w:val="00D63DC0"/>
    <w:rsid w:val="00D66BE7"/>
    <w:rsid w:val="00D70B18"/>
    <w:rsid w:val="00DA6C92"/>
    <w:rsid w:val="00DD4983"/>
    <w:rsid w:val="00DF476D"/>
    <w:rsid w:val="00E04977"/>
    <w:rsid w:val="00E074B6"/>
    <w:rsid w:val="00E43A39"/>
    <w:rsid w:val="00E44D53"/>
    <w:rsid w:val="00E5717B"/>
    <w:rsid w:val="00E8291D"/>
    <w:rsid w:val="00EB52A2"/>
    <w:rsid w:val="00EE4B13"/>
    <w:rsid w:val="00EE71DA"/>
    <w:rsid w:val="00EF0332"/>
    <w:rsid w:val="00F13015"/>
    <w:rsid w:val="00F21CD3"/>
    <w:rsid w:val="00F67375"/>
    <w:rsid w:val="00FA27A2"/>
    <w:rsid w:val="00FA6620"/>
    <w:rsid w:val="00FD11AE"/>
    <w:rsid w:val="00FE518C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75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3817"/>
    <w:pPr>
      <w:ind w:left="720"/>
      <w:contextualSpacing/>
    </w:pPr>
  </w:style>
  <w:style w:type="paragraph" w:customStyle="1" w:styleId="1">
    <w:name w:val="Обычный1"/>
    <w:rsid w:val="008023D1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894"/>
  </w:style>
  <w:style w:type="paragraph" w:styleId="aa">
    <w:name w:val="footer"/>
    <w:basedOn w:val="a"/>
    <w:link w:val="ab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5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751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3817"/>
    <w:pPr>
      <w:ind w:left="720"/>
      <w:contextualSpacing/>
    </w:pPr>
  </w:style>
  <w:style w:type="paragraph" w:customStyle="1" w:styleId="1">
    <w:name w:val="Обычный1"/>
    <w:rsid w:val="008023D1"/>
    <w:pPr>
      <w:widowControl w:val="0"/>
      <w:spacing w:after="0" w:line="480" w:lineRule="auto"/>
      <w:ind w:left="1040" w:hanging="4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0894"/>
  </w:style>
  <w:style w:type="paragraph" w:styleId="aa">
    <w:name w:val="footer"/>
    <w:basedOn w:val="a"/>
    <w:link w:val="ab"/>
    <w:uiPriority w:val="99"/>
    <w:unhideWhenUsed/>
    <w:rsid w:val="00080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i.aai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1528-A188-4F83-AFFC-85B37CFD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3075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Х. Джеканович</dc:creator>
  <cp:lastModifiedBy>user</cp:lastModifiedBy>
  <cp:revision>2</cp:revision>
  <cp:lastPrinted>2017-11-09T11:48:00Z</cp:lastPrinted>
  <dcterms:created xsi:type="dcterms:W3CDTF">2017-11-09T11:56:00Z</dcterms:created>
  <dcterms:modified xsi:type="dcterms:W3CDTF">2017-11-09T11:56:00Z</dcterms:modified>
</cp:coreProperties>
</file>